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9F1B7" w14:textId="5BEBD63E" w:rsidR="00744E79" w:rsidRPr="00744E79" w:rsidRDefault="00744E79" w:rsidP="00744E79">
      <w:pPr>
        <w:jc w:val="center"/>
        <w:rPr>
          <w:b/>
          <w:bCs/>
          <w:sz w:val="36"/>
          <w:szCs w:val="36"/>
          <w:u w:val="single"/>
        </w:rPr>
      </w:pPr>
      <w:r w:rsidRPr="00744E79">
        <w:rPr>
          <w:b/>
          <w:bCs/>
          <w:sz w:val="36"/>
          <w:szCs w:val="36"/>
          <w:u w:val="single"/>
        </w:rPr>
        <w:t>Actualités Informatique</w:t>
      </w:r>
    </w:p>
    <w:p w14:paraId="795FC822" w14:textId="57FEA1E6" w:rsidR="00744E79" w:rsidRPr="00744E79" w:rsidRDefault="00744E79" w:rsidP="00744E79">
      <w:pPr>
        <w:rPr>
          <w:b/>
          <w:bCs/>
          <w:sz w:val="28"/>
          <w:szCs w:val="28"/>
          <w:u w:val="single"/>
        </w:rPr>
      </w:pPr>
      <w:r w:rsidRPr="00744E79">
        <w:rPr>
          <w:b/>
          <w:bCs/>
          <w:sz w:val="28"/>
          <w:szCs w:val="28"/>
          <w:u w:val="single"/>
        </w:rPr>
        <w:t>Microsoft : Le nouveau Smartphone de Microsoft et ses 2 écrans : Le Surface DUO arrive en France en 2021 !!</w:t>
      </w:r>
    </w:p>
    <w:p w14:paraId="0D764050" w14:textId="1EFE81EE" w:rsidR="00744E79" w:rsidRPr="00744E79" w:rsidRDefault="00744E79" w:rsidP="00744E79">
      <w:pPr>
        <w:rPr>
          <w:rStyle w:val="lev"/>
          <w:rFonts w:ascii="inherit" w:eastAsia="Times New Roman" w:hAnsi="inherit" w:cs="Segoe UI"/>
          <w:b w:val="0"/>
          <w:bCs w:val="0"/>
          <w:color w:val="000000" w:themeColor="text1"/>
          <w:sz w:val="27"/>
          <w:szCs w:val="27"/>
          <w:lang w:eastAsia="fr-FR"/>
        </w:rPr>
      </w:pPr>
      <w:r w:rsidRPr="00744E79">
        <w:rPr>
          <w:rStyle w:val="lev"/>
          <w:rFonts w:ascii="inherit" w:eastAsia="Times New Roman" w:hAnsi="inherit" w:cs="Segoe UI"/>
          <w:b w:val="0"/>
          <w:bCs w:val="0"/>
          <w:color w:val="000000" w:themeColor="text1"/>
          <w:sz w:val="27"/>
          <w:szCs w:val="27"/>
          <w:lang w:eastAsia="fr-FR"/>
        </w:rPr>
        <w:t>L</w:t>
      </w:r>
      <w:r w:rsidRPr="00744E79">
        <w:rPr>
          <w:rStyle w:val="lev"/>
          <w:rFonts w:ascii="inherit" w:eastAsia="Times New Roman" w:hAnsi="inherit" w:cs="Segoe UI"/>
          <w:b w:val="0"/>
          <w:bCs w:val="0"/>
          <w:color w:val="000000" w:themeColor="text1"/>
          <w:sz w:val="27"/>
          <w:szCs w:val="27"/>
          <w:lang w:eastAsia="fr-FR"/>
        </w:rPr>
        <w:t>e dernier smartphone Android de Microsoft lancé aux États-Unis en septembre dernier arrivera dans nos rayons au début de l'année prochaine.</w:t>
      </w:r>
    </w:p>
    <w:p w14:paraId="030A3BAA" w14:textId="0C8DED52" w:rsidR="00744E79" w:rsidRPr="00744E79" w:rsidRDefault="00744E79" w:rsidP="00744E79">
      <w:pPr>
        <w:rPr>
          <w:b/>
          <w:bCs/>
          <w:color w:val="000000" w:themeColor="text1"/>
        </w:rPr>
      </w:pPr>
      <w:r w:rsidRPr="00744E79">
        <w:rPr>
          <w:rStyle w:val="lev"/>
          <w:rFonts w:ascii="inherit" w:eastAsia="Times New Roman" w:hAnsi="inherit" w:cs="Segoe UI"/>
          <w:b w:val="0"/>
          <w:bCs w:val="0"/>
          <w:color w:val="000000" w:themeColor="text1"/>
          <w:sz w:val="27"/>
          <w:szCs w:val="27"/>
          <w:lang w:eastAsia="fr-FR"/>
        </w:rPr>
        <w:t>Après avoir tenté sa chance dans le développement de systèmes d'exploitation mobiles, Microsoft a dû jeter l'éponge sur Windows CE, Windows Phone et Windows Mobile 10. La firme de Redmond s'est finalement tournée vers l'OS Android de son ennemi juré, Google. Le Surface Duo est le premier appareil qui en profite.</w:t>
      </w:r>
    </w:p>
    <w:p w14:paraId="1A9A7C36" w14:textId="2FA25791" w:rsidR="00744E79" w:rsidRDefault="00744E79">
      <w:pPr>
        <w:rPr>
          <w:sz w:val="28"/>
          <w:szCs w:val="28"/>
        </w:rPr>
      </w:pPr>
    </w:p>
    <w:p w14:paraId="020618BE" w14:textId="1A706EEC" w:rsidR="00B55BED" w:rsidRDefault="00B55BED">
      <w:pPr>
        <w:rPr>
          <w:sz w:val="28"/>
          <w:szCs w:val="28"/>
        </w:rPr>
      </w:pPr>
      <w:r>
        <w:rPr>
          <w:noProof/>
        </w:rPr>
        <w:drawing>
          <wp:inline distT="0" distB="0" distL="0" distR="0" wp14:anchorId="665C075C" wp14:editId="51A41992">
            <wp:extent cx="5760720" cy="372235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722354"/>
                    </a:xfrm>
                    <a:prstGeom prst="rect">
                      <a:avLst/>
                    </a:prstGeom>
                    <a:noFill/>
                    <a:ln>
                      <a:noFill/>
                    </a:ln>
                  </pic:spPr>
                </pic:pic>
              </a:graphicData>
            </a:graphic>
          </wp:inline>
        </w:drawing>
      </w:r>
    </w:p>
    <w:p w14:paraId="11A290C2" w14:textId="65A03E74" w:rsidR="00B55BED" w:rsidRDefault="00B55BED">
      <w:pPr>
        <w:rPr>
          <w:sz w:val="28"/>
          <w:szCs w:val="28"/>
        </w:rPr>
      </w:pPr>
    </w:p>
    <w:p w14:paraId="4F88DEC0" w14:textId="5E3A4B3F" w:rsidR="009D29AC" w:rsidRDefault="009D29AC">
      <w:pPr>
        <w:rPr>
          <w:sz w:val="28"/>
          <w:szCs w:val="28"/>
        </w:rPr>
      </w:pPr>
      <w:r>
        <w:rPr>
          <w:sz w:val="28"/>
          <w:szCs w:val="28"/>
        </w:rPr>
        <w:t xml:space="preserve">Source : </w:t>
      </w:r>
      <w:proofErr w:type="spellStart"/>
      <w:r>
        <w:rPr>
          <w:sz w:val="28"/>
          <w:szCs w:val="28"/>
        </w:rPr>
        <w:t>clubic</w:t>
      </w:r>
      <w:proofErr w:type="spellEnd"/>
    </w:p>
    <w:p w14:paraId="7D65A658" w14:textId="415E18F2" w:rsidR="009D29AC" w:rsidRDefault="009D29AC">
      <w:pPr>
        <w:rPr>
          <w:sz w:val="28"/>
          <w:szCs w:val="28"/>
        </w:rPr>
      </w:pPr>
      <w:r w:rsidRPr="009D29AC">
        <w:rPr>
          <w:sz w:val="28"/>
          <w:szCs w:val="28"/>
        </w:rPr>
        <w:t>www.clubic.com</w:t>
      </w:r>
    </w:p>
    <w:p w14:paraId="2F0F8C9B" w14:textId="77777777" w:rsidR="009D29AC" w:rsidRDefault="009D29AC">
      <w:pPr>
        <w:rPr>
          <w:sz w:val="28"/>
          <w:szCs w:val="28"/>
        </w:rPr>
      </w:pPr>
    </w:p>
    <w:p w14:paraId="5B388085" w14:textId="0093D311" w:rsidR="00B55BED" w:rsidRDefault="00B55BED">
      <w:pPr>
        <w:rPr>
          <w:b/>
          <w:bCs/>
          <w:sz w:val="28"/>
          <w:szCs w:val="28"/>
          <w:u w:val="single"/>
        </w:rPr>
      </w:pPr>
      <w:r w:rsidRPr="00B55BED">
        <w:rPr>
          <w:b/>
          <w:bCs/>
          <w:sz w:val="28"/>
          <w:szCs w:val="28"/>
          <w:u w:val="single"/>
        </w:rPr>
        <w:t>La maturité de l'open data progresse nettement en Europe</w:t>
      </w:r>
      <w:r>
        <w:rPr>
          <w:b/>
          <w:bCs/>
          <w:sz w:val="28"/>
          <w:szCs w:val="28"/>
          <w:u w:val="single"/>
        </w:rPr>
        <w:t> :</w:t>
      </w:r>
    </w:p>
    <w:p w14:paraId="4214DDE3" w14:textId="4AA863F6" w:rsidR="00B55BED" w:rsidRDefault="00B55BED">
      <w:pPr>
        <w:rPr>
          <w:sz w:val="28"/>
          <w:szCs w:val="28"/>
        </w:rPr>
      </w:pPr>
      <w:r w:rsidRPr="00B55BED">
        <w:rPr>
          <w:sz w:val="28"/>
          <w:szCs w:val="28"/>
        </w:rPr>
        <w:lastRenderedPageBreak/>
        <w:t xml:space="preserve">Le 6ème rapport Open Data </w:t>
      </w:r>
      <w:proofErr w:type="spellStart"/>
      <w:r w:rsidRPr="00B55BED">
        <w:rPr>
          <w:sz w:val="28"/>
          <w:szCs w:val="28"/>
        </w:rPr>
        <w:t>Maturity</w:t>
      </w:r>
      <w:proofErr w:type="spellEnd"/>
      <w:r w:rsidRPr="00B55BED">
        <w:rPr>
          <w:sz w:val="28"/>
          <w:szCs w:val="28"/>
        </w:rPr>
        <w:t xml:space="preserve"> Report 2020, commandé par la Commission européenne à Capgemini montre que l'Europe est en bonne voie pour atteindre ses objectifs dans l'ouverture des données publiques. Sept pays, dont la France, font partie de l'avant-garde dans leur stratégie open data.</w:t>
      </w:r>
    </w:p>
    <w:p w14:paraId="141D37B5" w14:textId="46225EF9" w:rsidR="00B55BED" w:rsidRDefault="00B55BED">
      <w:pPr>
        <w:rPr>
          <w:sz w:val="28"/>
          <w:szCs w:val="28"/>
        </w:rPr>
      </w:pPr>
      <w:r w:rsidRPr="00B55BED">
        <w:rPr>
          <w:sz w:val="28"/>
          <w:szCs w:val="28"/>
        </w:rPr>
        <w:t xml:space="preserve">Le réel besoin de données publiques a été plus que jamais mis en évidence cette année avec la pandémie mondiale de Covid-19 vécue depuis un an. La nécessité de répondre à l'urgence a conduit de nombreux pays à commencer à publier des données relatives à ce sujet de santé publique et à développer des initiatives et des tableaux de bord pour rendre les données plus compréhensibles et plus pertinentes, pointe l’Open Data </w:t>
      </w:r>
      <w:proofErr w:type="spellStart"/>
      <w:r w:rsidRPr="00B55BED">
        <w:rPr>
          <w:sz w:val="28"/>
          <w:szCs w:val="28"/>
        </w:rPr>
        <w:t>Maturity</w:t>
      </w:r>
      <w:proofErr w:type="spellEnd"/>
      <w:r w:rsidRPr="00B55BED">
        <w:rPr>
          <w:sz w:val="28"/>
          <w:szCs w:val="28"/>
        </w:rPr>
        <w:t xml:space="preserve"> Report 2020. Ce rapport évalue les progrès réalisés dans la publication et la réutilisation de données ouvertes en Europe. Sa 6ème édition, coordonnée par Capgemini </w:t>
      </w:r>
      <w:proofErr w:type="spellStart"/>
      <w:r w:rsidRPr="00B55BED">
        <w:rPr>
          <w:sz w:val="28"/>
          <w:szCs w:val="28"/>
        </w:rPr>
        <w:t>Invent</w:t>
      </w:r>
      <w:proofErr w:type="spellEnd"/>
      <w:r w:rsidRPr="00B55BED">
        <w:rPr>
          <w:sz w:val="28"/>
          <w:szCs w:val="28"/>
        </w:rPr>
        <w:t xml:space="preserve"> à la demande de la Commission européenne, est accessible sur le site EuropeanDataPortal.eu. Elle montre que « l’Europe est en bonne voie d’atteindre les objectifs fixés en matière de données ouvertes afin de les rendre disponibles pour que les citoyens puissent les réutiliser ».</w:t>
      </w:r>
    </w:p>
    <w:p w14:paraId="0869EFB8" w14:textId="1F75D6EC" w:rsidR="00B55BED" w:rsidRDefault="00B55BED">
      <w:pPr>
        <w:rPr>
          <w:sz w:val="28"/>
          <w:szCs w:val="28"/>
        </w:rPr>
      </w:pPr>
    </w:p>
    <w:p w14:paraId="0B87F08C" w14:textId="77777777" w:rsidR="00FE7CB2" w:rsidRDefault="00B55BED" w:rsidP="00FE7CB2">
      <w:pPr>
        <w:rPr>
          <w:noProof/>
        </w:rPr>
      </w:pPr>
      <w:r>
        <w:rPr>
          <w:noProof/>
        </w:rPr>
        <w:drawing>
          <wp:inline distT="0" distB="0" distL="0" distR="0" wp14:anchorId="16033553" wp14:editId="634F1F9B">
            <wp:extent cx="5759450" cy="3489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5340" cy="3499302"/>
                    </a:xfrm>
                    <a:prstGeom prst="rect">
                      <a:avLst/>
                    </a:prstGeom>
                    <a:noFill/>
                    <a:ln>
                      <a:noFill/>
                    </a:ln>
                  </pic:spPr>
                </pic:pic>
              </a:graphicData>
            </a:graphic>
          </wp:inline>
        </w:drawing>
      </w:r>
    </w:p>
    <w:p w14:paraId="6F7FE1A3" w14:textId="77777777" w:rsidR="00FE7CB2" w:rsidRDefault="00FE7CB2" w:rsidP="00FE7CB2">
      <w:pPr>
        <w:rPr>
          <w:noProof/>
        </w:rPr>
      </w:pPr>
    </w:p>
    <w:p w14:paraId="7E5895F3" w14:textId="5520F81C" w:rsidR="00DD46F7" w:rsidRPr="009D29AC" w:rsidRDefault="009D29AC" w:rsidP="00B55BED">
      <w:pPr>
        <w:tabs>
          <w:tab w:val="left" w:pos="1368"/>
        </w:tabs>
        <w:rPr>
          <w:sz w:val="32"/>
          <w:szCs w:val="32"/>
        </w:rPr>
      </w:pPr>
      <w:r w:rsidRPr="009D29AC">
        <w:rPr>
          <w:sz w:val="32"/>
          <w:szCs w:val="32"/>
        </w:rPr>
        <w:t>Source : Le Monde Informatique</w:t>
      </w:r>
    </w:p>
    <w:p w14:paraId="5528B61E" w14:textId="21EBAF6C" w:rsidR="00DD46F7" w:rsidRPr="009D29AC" w:rsidRDefault="009D29AC" w:rsidP="00B55BED">
      <w:pPr>
        <w:tabs>
          <w:tab w:val="left" w:pos="1368"/>
        </w:tabs>
        <w:rPr>
          <w:sz w:val="32"/>
          <w:szCs w:val="32"/>
        </w:rPr>
      </w:pPr>
      <w:r w:rsidRPr="009D29AC">
        <w:rPr>
          <w:sz w:val="32"/>
          <w:szCs w:val="32"/>
        </w:rPr>
        <w:t>www.lemondeinformatique.fr</w:t>
      </w:r>
    </w:p>
    <w:p w14:paraId="3BC380D6" w14:textId="77777777" w:rsidR="00DD46F7" w:rsidRDefault="00DD46F7" w:rsidP="00B55BED">
      <w:pPr>
        <w:tabs>
          <w:tab w:val="left" w:pos="1368"/>
        </w:tabs>
        <w:rPr>
          <w:b/>
          <w:bCs/>
          <w:sz w:val="32"/>
          <w:szCs w:val="32"/>
          <w:u w:val="single"/>
        </w:rPr>
      </w:pPr>
    </w:p>
    <w:p w14:paraId="684A59CE" w14:textId="77777777" w:rsidR="00DD46F7" w:rsidRDefault="00DD46F7" w:rsidP="00B55BED">
      <w:pPr>
        <w:tabs>
          <w:tab w:val="left" w:pos="1368"/>
        </w:tabs>
        <w:rPr>
          <w:b/>
          <w:bCs/>
          <w:sz w:val="32"/>
          <w:szCs w:val="32"/>
          <w:u w:val="single"/>
        </w:rPr>
      </w:pPr>
    </w:p>
    <w:p w14:paraId="162C4BE0" w14:textId="563271F3" w:rsidR="00B55BED" w:rsidRDefault="00FE7CB2" w:rsidP="00B55BED">
      <w:pPr>
        <w:tabs>
          <w:tab w:val="left" w:pos="1368"/>
        </w:tabs>
        <w:rPr>
          <w:b/>
          <w:bCs/>
          <w:sz w:val="32"/>
          <w:szCs w:val="32"/>
          <w:u w:val="single"/>
        </w:rPr>
      </w:pPr>
      <w:r w:rsidRPr="00FE7CB2">
        <w:rPr>
          <w:b/>
          <w:bCs/>
          <w:sz w:val="32"/>
          <w:szCs w:val="32"/>
          <w:u w:val="single"/>
        </w:rPr>
        <w:t>Mila et IBM unissent leurs forces pour faire progresser l’IA</w:t>
      </w:r>
    </w:p>
    <w:p w14:paraId="2B9B8077" w14:textId="079C11C7" w:rsidR="00FE7CB2" w:rsidRDefault="00FE7CB2" w:rsidP="00B55BED">
      <w:pPr>
        <w:tabs>
          <w:tab w:val="left" w:pos="1368"/>
        </w:tabs>
        <w:rPr>
          <w:b/>
          <w:bCs/>
          <w:sz w:val="32"/>
          <w:szCs w:val="32"/>
          <w:u w:val="single"/>
        </w:rPr>
      </w:pPr>
    </w:p>
    <w:p w14:paraId="636B32A3" w14:textId="0206EE73" w:rsidR="00FE7CB2" w:rsidRPr="00FE7CB2" w:rsidRDefault="00FE7CB2" w:rsidP="00FE7CB2">
      <w:pPr>
        <w:tabs>
          <w:tab w:val="left" w:pos="1368"/>
        </w:tabs>
        <w:rPr>
          <w:sz w:val="32"/>
          <w:szCs w:val="32"/>
        </w:rPr>
      </w:pPr>
      <w:r w:rsidRPr="00FE7CB2">
        <w:rPr>
          <w:sz w:val="32"/>
          <w:szCs w:val="32"/>
        </w:rPr>
        <w:t>L’Institut québécois d’intelligence artificielle (Mila) vient d’établir un partenariat avec IBM afin d’accélérer la progression de l’intelligence artificielle (IA) et de l’apprentissage machine.</w:t>
      </w:r>
    </w:p>
    <w:p w14:paraId="0962A9C8" w14:textId="07642E92" w:rsidR="00FE7CB2" w:rsidRDefault="00FE7CB2" w:rsidP="00FE7CB2">
      <w:pPr>
        <w:tabs>
          <w:tab w:val="left" w:pos="1368"/>
        </w:tabs>
        <w:rPr>
          <w:sz w:val="32"/>
          <w:szCs w:val="32"/>
        </w:rPr>
      </w:pPr>
      <w:r w:rsidRPr="00FE7CB2">
        <w:rPr>
          <w:sz w:val="32"/>
          <w:szCs w:val="32"/>
        </w:rPr>
        <w:t>Ce projet se base sur la solution Orion, un logiciel à code source ouvert conçu par Mila. Ce programme optimise de façon asynchrone la formation et l’entraînement des modèles d’apprentissage machine. Il offre aux scientifiques une plateforme d’expérimentation flexible pour les procédures d’optimisation à grande échelle.</w:t>
      </w:r>
    </w:p>
    <w:p w14:paraId="295B5EBF" w14:textId="314E98B5" w:rsidR="00DD46F7" w:rsidRDefault="00DD46F7" w:rsidP="00FE7CB2">
      <w:pPr>
        <w:tabs>
          <w:tab w:val="left" w:pos="1368"/>
        </w:tabs>
        <w:rPr>
          <w:sz w:val="32"/>
          <w:szCs w:val="32"/>
        </w:rPr>
      </w:pPr>
    </w:p>
    <w:p w14:paraId="2F4530FF" w14:textId="50D65A32" w:rsidR="00DD46F7" w:rsidRDefault="00DD46F7" w:rsidP="00FE7CB2">
      <w:pPr>
        <w:tabs>
          <w:tab w:val="left" w:pos="1368"/>
        </w:tabs>
        <w:rPr>
          <w:sz w:val="32"/>
          <w:szCs w:val="32"/>
        </w:rPr>
      </w:pPr>
      <w:r>
        <w:rPr>
          <w:noProof/>
        </w:rPr>
        <w:drawing>
          <wp:inline distT="0" distB="0" distL="0" distR="0" wp14:anchorId="78AF06A5" wp14:editId="6D9EE871">
            <wp:extent cx="1905000" cy="18973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897380"/>
                    </a:xfrm>
                    <a:prstGeom prst="rect">
                      <a:avLst/>
                    </a:prstGeom>
                    <a:noFill/>
                    <a:ln>
                      <a:noFill/>
                    </a:ln>
                  </pic:spPr>
                </pic:pic>
              </a:graphicData>
            </a:graphic>
          </wp:inline>
        </w:drawing>
      </w:r>
    </w:p>
    <w:p w14:paraId="4A4EFFF6" w14:textId="69B5801F" w:rsidR="009D29AC" w:rsidRDefault="009D29AC" w:rsidP="00FE7CB2">
      <w:pPr>
        <w:tabs>
          <w:tab w:val="left" w:pos="1368"/>
        </w:tabs>
        <w:rPr>
          <w:sz w:val="32"/>
          <w:szCs w:val="32"/>
        </w:rPr>
      </w:pPr>
      <w:r>
        <w:rPr>
          <w:sz w:val="32"/>
          <w:szCs w:val="32"/>
        </w:rPr>
        <w:t>Source : Direction informatique</w:t>
      </w:r>
    </w:p>
    <w:p w14:paraId="730126CF" w14:textId="01DAE36B" w:rsidR="009D29AC" w:rsidRPr="00FE7CB2" w:rsidRDefault="009D29AC" w:rsidP="00FE7CB2">
      <w:pPr>
        <w:tabs>
          <w:tab w:val="left" w:pos="1368"/>
        </w:tabs>
        <w:rPr>
          <w:sz w:val="32"/>
          <w:szCs w:val="32"/>
        </w:rPr>
      </w:pPr>
      <w:r w:rsidRPr="009D29AC">
        <w:rPr>
          <w:sz w:val="32"/>
          <w:szCs w:val="32"/>
        </w:rPr>
        <w:t>directioninformatique.com</w:t>
      </w:r>
    </w:p>
    <w:sectPr w:rsidR="009D29AC" w:rsidRPr="00FE7C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E79"/>
    <w:rsid w:val="00744E79"/>
    <w:rsid w:val="009865AA"/>
    <w:rsid w:val="009D29AC"/>
    <w:rsid w:val="00B55BED"/>
    <w:rsid w:val="00DD46F7"/>
    <w:rsid w:val="00FE7C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FF5A"/>
  <w15:chartTrackingRefBased/>
  <w15:docId w15:val="{5B81007E-F9A3-4D1B-B317-64F24071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55B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E7C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rty-paragraph-left">
    <w:name w:val="marty-paragraph-left"/>
    <w:basedOn w:val="Normal"/>
    <w:rsid w:val="00744E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44E79"/>
    <w:rPr>
      <w:b/>
      <w:bCs/>
    </w:rPr>
  </w:style>
  <w:style w:type="character" w:customStyle="1" w:styleId="Titre1Car">
    <w:name w:val="Titre 1 Car"/>
    <w:basedOn w:val="Policepardfaut"/>
    <w:link w:val="Titre1"/>
    <w:uiPriority w:val="9"/>
    <w:rsid w:val="00B55BE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FE7CB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932624">
      <w:bodyDiv w:val="1"/>
      <w:marLeft w:val="0"/>
      <w:marRight w:val="0"/>
      <w:marTop w:val="0"/>
      <w:marBottom w:val="0"/>
      <w:divBdr>
        <w:top w:val="none" w:sz="0" w:space="0" w:color="auto"/>
        <w:left w:val="none" w:sz="0" w:space="0" w:color="auto"/>
        <w:bottom w:val="none" w:sz="0" w:space="0" w:color="auto"/>
        <w:right w:val="none" w:sz="0" w:space="0" w:color="auto"/>
      </w:divBdr>
    </w:div>
    <w:div w:id="79575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04463">
          <w:marLeft w:val="0"/>
          <w:marRight w:val="0"/>
          <w:marTop w:val="0"/>
          <w:marBottom w:val="0"/>
          <w:divBdr>
            <w:top w:val="none" w:sz="0" w:space="0" w:color="auto"/>
            <w:left w:val="none" w:sz="0" w:space="0" w:color="auto"/>
            <w:bottom w:val="none" w:sz="0" w:space="0" w:color="auto"/>
            <w:right w:val="none" w:sz="0" w:space="0" w:color="auto"/>
          </w:divBdr>
          <w:divsChild>
            <w:div w:id="11575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6422">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7">
          <w:marLeft w:val="0"/>
          <w:marRight w:val="0"/>
          <w:marTop w:val="0"/>
          <w:marBottom w:val="0"/>
          <w:divBdr>
            <w:top w:val="none" w:sz="0" w:space="0" w:color="auto"/>
            <w:left w:val="none" w:sz="0" w:space="0" w:color="auto"/>
            <w:bottom w:val="none" w:sz="0" w:space="0" w:color="auto"/>
            <w:right w:val="none" w:sz="0" w:space="0" w:color="auto"/>
          </w:divBdr>
          <w:divsChild>
            <w:div w:id="20383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3947">
      <w:bodyDiv w:val="1"/>
      <w:marLeft w:val="0"/>
      <w:marRight w:val="0"/>
      <w:marTop w:val="0"/>
      <w:marBottom w:val="0"/>
      <w:divBdr>
        <w:top w:val="none" w:sz="0" w:space="0" w:color="auto"/>
        <w:left w:val="none" w:sz="0" w:space="0" w:color="auto"/>
        <w:bottom w:val="none" w:sz="0" w:space="0" w:color="auto"/>
        <w:right w:val="none" w:sz="0" w:space="0" w:color="auto"/>
      </w:divBdr>
      <w:divsChild>
        <w:div w:id="2105803535">
          <w:marLeft w:val="0"/>
          <w:marRight w:val="0"/>
          <w:marTop w:val="0"/>
          <w:marBottom w:val="480"/>
          <w:divBdr>
            <w:top w:val="none" w:sz="0" w:space="0" w:color="auto"/>
            <w:left w:val="none" w:sz="0" w:space="0" w:color="auto"/>
            <w:bottom w:val="none" w:sz="0" w:space="0" w:color="auto"/>
            <w:right w:val="none" w:sz="0" w:space="0" w:color="auto"/>
          </w:divBdr>
          <w:divsChild>
            <w:div w:id="1987280404">
              <w:marLeft w:val="0"/>
              <w:marRight w:val="0"/>
              <w:marTop w:val="0"/>
              <w:marBottom w:val="0"/>
              <w:divBdr>
                <w:top w:val="none" w:sz="0" w:space="0" w:color="auto"/>
                <w:left w:val="none" w:sz="0" w:space="0" w:color="auto"/>
                <w:bottom w:val="none" w:sz="0" w:space="0" w:color="auto"/>
                <w:right w:val="none" w:sz="0" w:space="0" w:color="auto"/>
              </w:divBdr>
            </w:div>
          </w:divsChild>
        </w:div>
        <w:div w:id="747534868">
          <w:marLeft w:val="0"/>
          <w:marRight w:val="0"/>
          <w:marTop w:val="0"/>
          <w:marBottom w:val="480"/>
          <w:divBdr>
            <w:top w:val="none" w:sz="0" w:space="0" w:color="auto"/>
            <w:left w:val="none" w:sz="0" w:space="0" w:color="auto"/>
            <w:bottom w:val="none" w:sz="0" w:space="0" w:color="auto"/>
            <w:right w:val="none" w:sz="0" w:space="0" w:color="auto"/>
          </w:divBdr>
          <w:divsChild>
            <w:div w:id="17890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394</Words>
  <Characters>2167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Pasquier</dc:creator>
  <cp:keywords/>
  <dc:description/>
  <cp:lastModifiedBy>Leo Pasquier</cp:lastModifiedBy>
  <cp:revision>2</cp:revision>
  <dcterms:created xsi:type="dcterms:W3CDTF">2020-12-16T14:56:00Z</dcterms:created>
  <dcterms:modified xsi:type="dcterms:W3CDTF">2020-12-16T16:20:00Z</dcterms:modified>
</cp:coreProperties>
</file>